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22" w:rsidRPr="00F57B22" w:rsidRDefault="00F57B22" w:rsidP="00F57B22">
      <w:pPr>
        <w:spacing w:before="120" w:after="120" w:line="360" w:lineRule="atLeast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sz w:val="26"/>
          <w:szCs w:val="26"/>
        </w:rPr>
        <w:t>12 Economic Policies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Through strengthened public financial management, delivering fiscal prudence and macroeconomic stability, while creating the financial space necessary for an expanding economy;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Reforming state-owned enterprises and, where possible, privatizing them and promoting and assisting small and medium enterprises as generators of employment and growth;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Through improving technical and vocational education, fostering the human capital to support a modern economy;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Prioritizing the rapid development of fundamental economic structure such as electricity generation, roads and ports etc. and establishing Data ID Card System, Digital Government Strategy and e-Government System;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Creating employment opportunities for the people at home, the displaced and those returning from abroad and prioritizing the emergence of more businesses that create higher value-added job opportunities;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Ensuring balanced and mechanized agricultural economic model that will actively supporting the agriculture and livestock sectors to enable inclusive growth, enhanced food security and promote export;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Asserting the right of individuals to freely pursue the economic opportunities they wish to choose, in a market framework that supports a vibrant private sector, formulating specific policies for the promotion of investment and enhancing patent rights and law enforcement;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Achieving monetary and financial stability, while creating a financial system that can sustainably provide capital to businesses, farmers and households;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Establishing  environmentally sustainable cities, upgrading public services and utilities, reinvigorating public spaces and conserving heritage;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Ensuring secure rights to property through the laws and practices, while constructing a fair and efficient taxation system that, through funding the state, enables the protection of the rights of the people;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t>Promulgating regulations that supports innovation and technique to stimulate the development of high-tech and intellectual property rights;</w:t>
      </w:r>
    </w:p>
    <w:p w:rsidR="00F57B22" w:rsidRPr="00797CB3" w:rsidRDefault="00F57B22" w:rsidP="00F57B22">
      <w:pPr>
        <w:pStyle w:val="ListParagraph"/>
        <w:numPr>
          <w:ilvl w:val="0"/>
          <w:numId w:val="1"/>
        </w:numPr>
        <w:spacing w:before="120" w:after="120" w:line="360" w:lineRule="atLeast"/>
        <w:ind w:left="1890" w:hanging="450"/>
        <w:rPr>
          <w:rFonts w:ascii="Times New Roman" w:hAnsi="Times New Roman" w:cs="Times New Roman"/>
          <w:sz w:val="26"/>
          <w:szCs w:val="26"/>
        </w:rPr>
      </w:pPr>
      <w:r w:rsidRPr="00797CB3">
        <w:rPr>
          <w:rFonts w:ascii="Times New Roman" w:hAnsi="Times New Roman" w:cs="Times New Roman"/>
          <w:sz w:val="26"/>
          <w:szCs w:val="26"/>
        </w:rPr>
        <w:lastRenderedPageBreak/>
        <w:t>Ensuring stronger business links and foundations within the fast changing ASEAN region and beyond.</w:t>
      </w:r>
    </w:p>
    <w:p w:rsidR="009339C8" w:rsidRDefault="009339C8"/>
    <w:sectPr w:rsidR="009339C8" w:rsidSect="00623F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437"/>
    <w:multiLevelType w:val="hybridMultilevel"/>
    <w:tmpl w:val="1EC6E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7B22"/>
    <w:rsid w:val="0050217F"/>
    <w:rsid w:val="00623F28"/>
    <w:rsid w:val="006B3DC8"/>
    <w:rsid w:val="009339C8"/>
    <w:rsid w:val="00A540BB"/>
    <w:rsid w:val="00C3498A"/>
    <w:rsid w:val="00F5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 Phyo Pwint Han</dc:creator>
  <cp:lastModifiedBy>Daw May Myat Noe</cp:lastModifiedBy>
  <cp:revision>2</cp:revision>
  <dcterms:created xsi:type="dcterms:W3CDTF">2017-02-04T13:32:00Z</dcterms:created>
  <dcterms:modified xsi:type="dcterms:W3CDTF">2017-02-04T13:32:00Z</dcterms:modified>
</cp:coreProperties>
</file>